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3EC61" w14:textId="77777777" w:rsidR="001D4E51" w:rsidRDefault="001D4E51" w:rsidP="001D4E51">
      <w:pPr>
        <w:ind w:left="360"/>
      </w:pPr>
    </w:p>
    <w:p w14:paraId="08002B72" w14:textId="2A8BC312" w:rsidR="001D4E51" w:rsidRDefault="001D4E51" w:rsidP="001D4E51">
      <w:pPr>
        <w:ind w:left="360"/>
      </w:pPr>
      <w:r>
        <w:t xml:space="preserve">This module </w:t>
      </w:r>
      <w:r w:rsidR="001C082F">
        <w:t>teaches 4</w:t>
      </w:r>
      <w:r w:rsidR="001C082F" w:rsidRPr="001C082F">
        <w:rPr>
          <w:vertAlign w:val="superscript"/>
        </w:rPr>
        <w:t>th</w:t>
      </w:r>
      <w:r w:rsidR="001C082F">
        <w:t xml:space="preserve"> grade science standards</w:t>
      </w:r>
      <w:r w:rsidR="009A672D">
        <w:t xml:space="preserve">.  </w:t>
      </w:r>
      <w:r w:rsidR="001C082F">
        <w:t>T</w:t>
      </w:r>
      <w:r>
        <w:t xml:space="preserve">aught in conjunction with associated elementary science standards, </w:t>
      </w:r>
      <w:r w:rsidR="001C082F">
        <w:t xml:space="preserve">this module </w:t>
      </w:r>
      <w:r>
        <w:t xml:space="preserve">introduces students to the </w:t>
      </w:r>
      <w:r w:rsidR="009A672D">
        <w:t>concept</w:t>
      </w:r>
      <w:r>
        <w:t xml:space="preserve"> of energy.  Students will investigate and discuss specific energy types and energy sources.  </w:t>
      </w:r>
      <w:r w:rsidR="009A672D">
        <w:t>Two hands-</w:t>
      </w:r>
      <w:r>
        <w:t xml:space="preserve">on explorations will help students connect observed </w:t>
      </w:r>
      <w:r w:rsidRPr="001D4E51">
        <w:t xml:space="preserve">phenomenon </w:t>
      </w:r>
      <w:r>
        <w:t xml:space="preserve">with identifiable and measureable energy types.   </w:t>
      </w:r>
    </w:p>
    <w:p w14:paraId="098F5E9A" w14:textId="77777777" w:rsidR="001D4E51" w:rsidRDefault="001D4E51" w:rsidP="001D4E51">
      <w:pPr>
        <w:ind w:firstLine="360"/>
      </w:pPr>
    </w:p>
    <w:p w14:paraId="5C2CF789" w14:textId="77777777" w:rsidR="001D4E51" w:rsidRDefault="001D4E51" w:rsidP="001D4E51">
      <w:pPr>
        <w:ind w:firstLine="360"/>
      </w:pPr>
      <w:r>
        <w:t xml:space="preserve">After completing this module, student should be able to </w:t>
      </w:r>
    </w:p>
    <w:p w14:paraId="44212873" w14:textId="7A9052BE" w:rsidR="001D4E51" w:rsidRPr="001D4E51" w:rsidRDefault="001D4E51" w:rsidP="009A672D">
      <w:pPr>
        <w:numPr>
          <w:ilvl w:val="0"/>
          <w:numId w:val="2"/>
        </w:numPr>
        <w:tabs>
          <w:tab w:val="left" w:pos="1080"/>
        </w:tabs>
        <w:ind w:firstLine="0"/>
      </w:pPr>
      <w:r w:rsidRPr="001D4E51">
        <w:t>Define energy and identify</w:t>
      </w:r>
      <w:r>
        <w:t xml:space="preserve"> the different types </w:t>
      </w:r>
      <w:r w:rsidR="009A672D">
        <w:t>of energy</w:t>
      </w:r>
    </w:p>
    <w:p w14:paraId="471989E9" w14:textId="77777777" w:rsidR="001D4E51" w:rsidRPr="001D4E51" w:rsidRDefault="001D4E51" w:rsidP="009A672D">
      <w:pPr>
        <w:numPr>
          <w:ilvl w:val="0"/>
          <w:numId w:val="2"/>
        </w:numPr>
        <w:tabs>
          <w:tab w:val="left" w:pos="1080"/>
        </w:tabs>
        <w:ind w:firstLine="0"/>
      </w:pPr>
      <w:r w:rsidRPr="001D4E51">
        <w:t>Defi</w:t>
      </w:r>
      <w:r>
        <w:t>ne potential and kinetic energy</w:t>
      </w:r>
    </w:p>
    <w:p w14:paraId="39CC8A15" w14:textId="77777777" w:rsidR="001D4E51" w:rsidRDefault="001D4E51" w:rsidP="009A672D">
      <w:pPr>
        <w:numPr>
          <w:ilvl w:val="0"/>
          <w:numId w:val="2"/>
        </w:numPr>
        <w:tabs>
          <w:tab w:val="left" w:pos="1080"/>
        </w:tabs>
        <w:ind w:firstLine="0"/>
      </w:pPr>
      <w:r>
        <w:t xml:space="preserve">Understand the sources of different types of energy </w:t>
      </w:r>
    </w:p>
    <w:p w14:paraId="76DA2AAE" w14:textId="77777777" w:rsidR="001D4E51" w:rsidRPr="001D4E51" w:rsidRDefault="001D4E51" w:rsidP="009A672D">
      <w:pPr>
        <w:numPr>
          <w:ilvl w:val="0"/>
          <w:numId w:val="2"/>
        </w:numPr>
        <w:tabs>
          <w:tab w:val="left" w:pos="1080"/>
        </w:tabs>
        <w:ind w:firstLine="0"/>
      </w:pPr>
      <w:r>
        <w:t>Understand the concept of renewable vs. non renewable energy</w:t>
      </w:r>
    </w:p>
    <w:p w14:paraId="2AA45A5C" w14:textId="77777777" w:rsidR="001D4E51" w:rsidRDefault="001D4E51" w:rsidP="009A672D">
      <w:pPr>
        <w:numPr>
          <w:ilvl w:val="0"/>
          <w:numId w:val="2"/>
        </w:numPr>
        <w:tabs>
          <w:tab w:val="left" w:pos="1080"/>
        </w:tabs>
        <w:ind w:firstLine="0"/>
      </w:pPr>
      <w:r w:rsidRPr="001D4E51">
        <w:t>Describe the role of engineering in finding and testing various energy sources</w:t>
      </w:r>
    </w:p>
    <w:p w14:paraId="7E2B4CB7" w14:textId="77777777" w:rsidR="001D4E51" w:rsidRDefault="001D4E51" w:rsidP="001D4E51">
      <w:pPr>
        <w:ind w:left="360"/>
      </w:pPr>
    </w:p>
    <w:p w14:paraId="5E2B0BC1" w14:textId="3913BA89" w:rsidR="001D4E51" w:rsidRPr="001D4E51" w:rsidRDefault="001D4E51" w:rsidP="001D4E51">
      <w:pPr>
        <w:ind w:left="360"/>
      </w:pPr>
      <w:r>
        <w:t xml:space="preserve">The learning objectives of this module are in alignment with </w:t>
      </w:r>
      <w:r w:rsidRPr="001D4E51">
        <w:t>Next Generation Science Standards</w:t>
      </w:r>
      <w:r>
        <w:t xml:space="preserve"> (NGSS)</w:t>
      </w:r>
      <w:r w:rsidRPr="001D4E51">
        <w:t xml:space="preserve"> for 4</w:t>
      </w:r>
      <w:r w:rsidRPr="001D4E51">
        <w:rPr>
          <w:vertAlign w:val="superscript"/>
        </w:rPr>
        <w:t>th</w:t>
      </w:r>
      <w:r w:rsidRPr="001D4E51">
        <w:t xml:space="preserve"> Grade</w:t>
      </w:r>
      <w:r w:rsidR="00C317C8">
        <w:t xml:space="preserve">:  </w:t>
      </w:r>
      <w:r w:rsidRPr="001D4E51">
        <w:rPr>
          <w:b/>
        </w:rPr>
        <w:t>4-PS3-2</w:t>
      </w:r>
      <w:r>
        <w:rPr>
          <w:b/>
        </w:rPr>
        <w:t xml:space="preserve">: </w:t>
      </w:r>
      <w:r w:rsidRPr="001D4E51">
        <w:rPr>
          <w:i/>
        </w:rPr>
        <w:t>Make observations to provide evidence that energy can be transferred from place to place by sound, light, heat, and electric currents.</w:t>
      </w:r>
    </w:p>
    <w:p w14:paraId="346ECDF2" w14:textId="77777777" w:rsidR="001D4E51" w:rsidRDefault="001D4E51" w:rsidP="001D4E51">
      <w:pPr>
        <w:ind w:left="360"/>
      </w:pPr>
    </w:p>
    <w:p w14:paraId="19DF86CC" w14:textId="6890842F" w:rsidR="001D4E51" w:rsidRPr="009727E7" w:rsidRDefault="001D4E51" w:rsidP="009727E7">
      <w:pPr>
        <w:ind w:left="360"/>
        <w:rPr>
          <w:i/>
        </w:rPr>
      </w:pPr>
      <w:r>
        <w:t>The two explorations in which students identify and measure sound and kinetic energy c</w:t>
      </w:r>
      <w:r w:rsidR="009727E7">
        <w:t xml:space="preserve">onnect to NGSS </w:t>
      </w:r>
      <w:r w:rsidRPr="001D4E51">
        <w:t>Engineering Practices</w:t>
      </w:r>
      <w:r w:rsidR="009727E7">
        <w:t xml:space="preserve"> related to standard </w:t>
      </w:r>
      <w:r w:rsidR="009727E7" w:rsidRPr="008A410D">
        <w:rPr>
          <w:b/>
        </w:rPr>
        <w:t>4-PS3-2</w:t>
      </w:r>
      <w:r w:rsidR="009727E7">
        <w:t xml:space="preserve">.  </w:t>
      </w:r>
      <w:r w:rsidR="00C317C8" w:rsidRPr="009727E7">
        <w:rPr>
          <w:i/>
        </w:rPr>
        <w:t>Students’</w:t>
      </w:r>
      <w:r w:rsidRPr="009727E7">
        <w:rPr>
          <w:i/>
        </w:rPr>
        <w:t xml:space="preserve"> carry out investigations to answer questions associated with how light, sound, and kinetic energy are transferred from place to place.  </w:t>
      </w:r>
    </w:p>
    <w:p w14:paraId="2F42F755" w14:textId="77777777" w:rsidR="001D4E51" w:rsidRDefault="001D4E51" w:rsidP="001D4E51">
      <w:pPr>
        <w:ind w:left="360"/>
      </w:pPr>
      <w:r w:rsidRPr="009727E7">
        <w:rPr>
          <w:i/>
        </w:rPr>
        <w:t xml:space="preserve">Students will make observations and produce data that tests a design or provides an explanation of a phenomenon. </w:t>
      </w:r>
      <w:r w:rsidR="009727E7">
        <w:t xml:space="preserve">Specifically students will use an </w:t>
      </w:r>
      <w:proofErr w:type="spellStart"/>
      <w:r w:rsidR="009727E7">
        <w:t>iPad</w:t>
      </w:r>
      <w:proofErr w:type="spellEnd"/>
      <w:r w:rsidR="009727E7">
        <w:t xml:space="preserve"> application called Playground Physics </w:t>
      </w:r>
      <w:r w:rsidR="008A410D">
        <w:t xml:space="preserve">to measure the kinetic energy of different forms of physical movement.  Students will also create experiments where they can visually observe and classify sound waves.  </w:t>
      </w:r>
    </w:p>
    <w:p w14:paraId="37174CB3" w14:textId="77777777" w:rsidR="008A410D" w:rsidRDefault="008A410D" w:rsidP="001D4E51">
      <w:pPr>
        <w:ind w:left="360"/>
      </w:pPr>
    </w:p>
    <w:p w14:paraId="76A7FC74" w14:textId="689E4D12" w:rsidR="00DD031A" w:rsidRPr="00D842FE" w:rsidRDefault="008A410D" w:rsidP="00D842FE">
      <w:pPr>
        <w:ind w:left="360"/>
      </w:pPr>
      <w:r>
        <w:t xml:space="preserve">Through this module, students will understand the NGSS Disciplinary Core Idea connected to standard </w:t>
      </w:r>
      <w:r w:rsidRPr="008A410D">
        <w:rPr>
          <w:b/>
        </w:rPr>
        <w:t>4-PS3-2</w:t>
      </w:r>
      <w:r>
        <w:rPr>
          <w:b/>
        </w:rPr>
        <w:t xml:space="preserve">.  </w:t>
      </w:r>
      <w:r w:rsidR="00C317C8">
        <w:t>Through completing the lessons and explorations</w:t>
      </w:r>
      <w:r w:rsidR="00AB308E">
        <w:t xml:space="preserve">, students will understand that </w:t>
      </w:r>
      <w:r w:rsidR="00AB308E" w:rsidRPr="00AB308E">
        <w:rPr>
          <w:i/>
        </w:rPr>
        <w:t>e</w:t>
      </w:r>
      <w:r w:rsidRPr="00AB308E">
        <w:rPr>
          <w:i/>
        </w:rPr>
        <w:t>nergy can be moved from place to place by moving objects or by sound, light, or electric currents.</w:t>
      </w:r>
      <w:r w:rsidR="00D842FE">
        <w:t xml:space="preserve">  Presentations in this module connect to third grade standard </w:t>
      </w:r>
      <w:proofErr w:type="gramStart"/>
      <w:r w:rsidR="00D842FE">
        <w:rPr>
          <w:b/>
        </w:rPr>
        <w:t>PS3.B</w:t>
      </w:r>
      <w:r w:rsidR="00D842FE">
        <w:t xml:space="preserve">  </w:t>
      </w:r>
      <w:r w:rsidR="00D842FE" w:rsidRPr="00D842FE">
        <w:rPr>
          <w:i/>
        </w:rPr>
        <w:t>Energy</w:t>
      </w:r>
      <w:proofErr w:type="gramEnd"/>
      <w:r w:rsidR="00D842FE" w:rsidRPr="00D842FE">
        <w:rPr>
          <w:i/>
        </w:rPr>
        <w:t xml:space="preserve"> is present whenever there are moving objects, sound, light, or heat. Light transfers energy.  </w:t>
      </w:r>
      <w:proofErr w:type="gramStart"/>
      <w:r w:rsidR="00D842FE" w:rsidRPr="00D842FE">
        <w:rPr>
          <w:i/>
        </w:rPr>
        <w:t>Energy can be transferred by electric currents</w:t>
      </w:r>
      <w:proofErr w:type="gramEnd"/>
      <w:r w:rsidR="00D842FE" w:rsidRPr="00D842FE">
        <w:rPr>
          <w:i/>
        </w:rPr>
        <w:t xml:space="preserve">.  </w:t>
      </w:r>
      <w:r w:rsidR="00D842FE">
        <w:t xml:space="preserve">  Both explorations in this module </w:t>
      </w:r>
      <w:r w:rsidR="00DD031A">
        <w:t xml:space="preserve">support the NGSS Cross Cutting Concept </w:t>
      </w:r>
      <w:r w:rsidR="00DD031A">
        <w:rPr>
          <w:b/>
        </w:rPr>
        <w:t>4-PS3-2</w:t>
      </w:r>
      <w:r w:rsidR="00C317C8">
        <w:rPr>
          <w:b/>
        </w:rPr>
        <w:t>:</w:t>
      </w:r>
      <w:r w:rsidR="00DD031A">
        <w:t xml:space="preserve">  that e</w:t>
      </w:r>
      <w:r w:rsidR="00DD031A" w:rsidRPr="00DD031A">
        <w:t xml:space="preserve">nergy can be transferred in various ways </w:t>
      </w:r>
      <w:bookmarkStart w:id="0" w:name="_GoBack"/>
      <w:bookmarkEnd w:id="0"/>
      <w:r w:rsidR="00DD031A" w:rsidRPr="00DD031A">
        <w:t>between objects.</w:t>
      </w:r>
      <w:r w:rsidR="00DD031A">
        <w:t xml:space="preserve">  For example, in the kinetic energy exploration, students observe and measure the kinetic energy of thrown objects.  In the visualizing sound exploration</w:t>
      </w:r>
      <w:r w:rsidR="001C082F">
        <w:t xml:space="preserve">, students experiment with ways to use sound energy to create physical changes in objects around them.  </w:t>
      </w:r>
    </w:p>
    <w:p w14:paraId="7E686415" w14:textId="77777777" w:rsidR="001D4E51" w:rsidRDefault="001D4E51" w:rsidP="00D842FE"/>
    <w:p w14:paraId="5EC001EF" w14:textId="33266B0D" w:rsidR="001C082F" w:rsidRDefault="001C082F" w:rsidP="001D4E51">
      <w:pPr>
        <w:ind w:left="360"/>
      </w:pPr>
      <w:r>
        <w:t>To successfully complete this module</w:t>
      </w:r>
      <w:r w:rsidR="0095722D">
        <w:t>,</w:t>
      </w:r>
      <w:r>
        <w:t xml:space="preserve"> students will need the following prerequisite knowledge and skills</w:t>
      </w:r>
      <w:r w:rsidR="0095722D">
        <w:t xml:space="preserve"> met by teaching in the second and third NGSS standards</w:t>
      </w:r>
      <w:r>
        <w:t>:</w:t>
      </w:r>
    </w:p>
    <w:p w14:paraId="19293AF5" w14:textId="17971264" w:rsidR="001C082F" w:rsidRDefault="0095722D" w:rsidP="001C082F">
      <w:pPr>
        <w:pStyle w:val="ListParagraph"/>
        <w:numPr>
          <w:ilvl w:val="0"/>
          <w:numId w:val="3"/>
        </w:numPr>
      </w:pPr>
      <w:r>
        <w:t>Understanding the effects of balanced and unbalanced forces on the motion of an object</w:t>
      </w:r>
    </w:p>
    <w:p w14:paraId="63E5ADCF" w14:textId="42537B92" w:rsidR="0095722D" w:rsidRDefault="0095722D" w:rsidP="001C082F">
      <w:pPr>
        <w:pStyle w:val="ListParagraph"/>
        <w:numPr>
          <w:ilvl w:val="0"/>
          <w:numId w:val="3"/>
        </w:numPr>
      </w:pPr>
      <w:r>
        <w:t>Understand that the patterns of motion in an object can predict future motion.</w:t>
      </w:r>
    </w:p>
    <w:p w14:paraId="1181F9A9" w14:textId="191BCA67" w:rsidR="0095722D" w:rsidRDefault="0095722D" w:rsidP="001C082F">
      <w:pPr>
        <w:pStyle w:val="ListParagraph"/>
        <w:numPr>
          <w:ilvl w:val="0"/>
          <w:numId w:val="3"/>
        </w:numPr>
      </w:pPr>
      <w:r>
        <w:t>Basic understanding of electric and magnetic interactions</w:t>
      </w:r>
    </w:p>
    <w:p w14:paraId="17B86C34" w14:textId="162FCB49" w:rsidR="0095722D" w:rsidRDefault="0095722D" w:rsidP="001C082F">
      <w:pPr>
        <w:pStyle w:val="ListParagraph"/>
        <w:numPr>
          <w:ilvl w:val="0"/>
          <w:numId w:val="3"/>
        </w:numPr>
      </w:pPr>
      <w:r>
        <w:t>Be able to setup basic experiments with controlled variables</w:t>
      </w:r>
    </w:p>
    <w:p w14:paraId="5A309E25" w14:textId="77777777" w:rsidR="0095722D" w:rsidRDefault="0095722D" w:rsidP="0095722D"/>
    <w:p w14:paraId="0717050B" w14:textId="74539FCD" w:rsidR="001C082F" w:rsidRDefault="0095722D" w:rsidP="001D4E51">
      <w:pPr>
        <w:ind w:left="360"/>
      </w:pPr>
      <w:r>
        <w:t>This module is designed to enrich existing 4</w:t>
      </w:r>
      <w:r w:rsidRPr="0095722D">
        <w:rPr>
          <w:vertAlign w:val="superscript"/>
        </w:rPr>
        <w:t>th</w:t>
      </w:r>
      <w:r>
        <w:t xml:space="preserve"> grade science standards. It will take approximately seven hours of instructional time consisting of seven, thirty-minute PowerPoint presentation and two, ninety-minute explorations.  The two explorations will take approximately 30 minutes of setup/preparation time.  There are no safety risks or hazardous materials associated with the two explorations.  </w:t>
      </w:r>
    </w:p>
    <w:p w14:paraId="472683C4" w14:textId="77777777" w:rsidR="0095722D" w:rsidRDefault="0095722D" w:rsidP="001D4E51">
      <w:pPr>
        <w:ind w:left="360"/>
      </w:pPr>
    </w:p>
    <w:p w14:paraId="2B99DFA1" w14:textId="77777777" w:rsidR="0095722D" w:rsidRDefault="0095722D" w:rsidP="0095722D"/>
    <w:p w14:paraId="4924ECC5" w14:textId="77777777" w:rsidR="0095722D" w:rsidRDefault="0095722D" w:rsidP="0095722D"/>
    <w:p w14:paraId="3D9A1EA5" w14:textId="77777777" w:rsidR="009A672D" w:rsidRDefault="0095722D" w:rsidP="0095722D">
      <w:pPr>
        <w:tabs>
          <w:tab w:val="left" w:pos="360"/>
        </w:tabs>
      </w:pPr>
      <w:r>
        <w:tab/>
      </w:r>
    </w:p>
    <w:p w14:paraId="05C90DFF" w14:textId="5C9687F1" w:rsidR="0095722D" w:rsidRDefault="0095722D" w:rsidP="0095722D">
      <w:pPr>
        <w:tabs>
          <w:tab w:val="left" w:pos="360"/>
        </w:tabs>
      </w:pPr>
      <w:r w:rsidRPr="001D4E51">
        <w:t>Materials/supplies/equipment</w:t>
      </w:r>
      <w:r>
        <w:t xml:space="preserve"> required for the two explorations:</w:t>
      </w:r>
    </w:p>
    <w:p w14:paraId="7DDB4B40" w14:textId="7614653E" w:rsidR="0095722D" w:rsidRDefault="0095722D" w:rsidP="0095722D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ind w:firstLine="0"/>
      </w:pPr>
      <w:proofErr w:type="spellStart"/>
      <w:proofErr w:type="gramStart"/>
      <w:r>
        <w:t>iPad</w:t>
      </w:r>
      <w:proofErr w:type="spellEnd"/>
      <w:proofErr w:type="gramEnd"/>
      <w:r>
        <w:t xml:space="preserve"> </w:t>
      </w:r>
      <w:r w:rsidR="00790590">
        <w:t>with Playground Physics application (more than one preferable)</w:t>
      </w:r>
    </w:p>
    <w:p w14:paraId="307A0B21" w14:textId="44896FAD" w:rsidR="00790590" w:rsidRDefault="00790590" w:rsidP="0095722D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ind w:firstLine="0"/>
      </w:pPr>
      <w:r>
        <w:t>Worksheets and printouts for students included in exploration lesson plans</w:t>
      </w:r>
    </w:p>
    <w:p w14:paraId="6CB706B6" w14:textId="45B42174" w:rsidR="00790590" w:rsidRDefault="00790590" w:rsidP="0095722D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ind w:firstLine="0"/>
      </w:pPr>
      <w:r>
        <w:t>Chart paper and markers</w:t>
      </w:r>
    </w:p>
    <w:p w14:paraId="678E078D" w14:textId="7C64E50D" w:rsidR="00790590" w:rsidRDefault="00790590" w:rsidP="0095722D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ind w:firstLine="0"/>
      </w:pPr>
      <w:r>
        <w:t>Shallow trays filled with water</w:t>
      </w:r>
    </w:p>
    <w:p w14:paraId="4BBBBD95" w14:textId="7209BE32" w:rsidR="00790590" w:rsidRDefault="00790590" w:rsidP="0095722D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ind w:firstLine="0"/>
      </w:pPr>
      <w:r>
        <w:t xml:space="preserve">Tuning forks of different frequencies </w:t>
      </w:r>
    </w:p>
    <w:p w14:paraId="7AD270E2" w14:textId="76417D84" w:rsidR="00790590" w:rsidRDefault="00790590" w:rsidP="0095722D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ind w:firstLine="0"/>
      </w:pPr>
      <w:r>
        <w:t>Sound energy summary poster</w:t>
      </w:r>
    </w:p>
    <w:p w14:paraId="7D489443" w14:textId="77777777" w:rsidR="0095722D" w:rsidRDefault="0095722D" w:rsidP="001D4E51">
      <w:pPr>
        <w:ind w:left="360"/>
      </w:pPr>
    </w:p>
    <w:p w14:paraId="73BA3B62" w14:textId="10D0DEAC" w:rsidR="00790590" w:rsidRDefault="00790590" w:rsidP="001D4E51">
      <w:pPr>
        <w:ind w:left="360"/>
      </w:pPr>
      <w:r>
        <w:t>Resources used to create module include:</w:t>
      </w:r>
    </w:p>
    <w:p w14:paraId="4A850BD9" w14:textId="77777777" w:rsidR="00790590" w:rsidRDefault="00790590" w:rsidP="001D4E51">
      <w:pPr>
        <w:ind w:left="360"/>
      </w:pPr>
    </w:p>
    <w:p w14:paraId="181AF520" w14:textId="77777777" w:rsidR="009A672D" w:rsidRDefault="009A672D" w:rsidP="00790590">
      <w:pPr>
        <w:ind w:left="360"/>
      </w:pPr>
      <w:proofErr w:type="gramStart"/>
      <w:r w:rsidRPr="00790590">
        <w:t>Sun, P., Gould, V. &amp; JI, R. Center for Learning and Action.</w:t>
      </w:r>
      <w:proofErr w:type="gramEnd"/>
      <w:r w:rsidRPr="00790590">
        <w:t xml:space="preserve"> Energy Unit Available at: https://learning-in-action.williams.edu/opportunities/elementary-outreach/science-lessons/4th-grade-energy-unit/. (Accessed: 21st March 2018)</w:t>
      </w:r>
    </w:p>
    <w:p w14:paraId="6D245760" w14:textId="77777777" w:rsidR="00790590" w:rsidRPr="00790590" w:rsidRDefault="00790590" w:rsidP="00790590">
      <w:pPr>
        <w:ind w:left="360"/>
      </w:pPr>
    </w:p>
    <w:p w14:paraId="5D3A9621" w14:textId="2638EC06" w:rsidR="009A672D" w:rsidRDefault="009A672D" w:rsidP="00790590">
      <w:pPr>
        <w:ind w:left="360"/>
      </w:pPr>
      <w:proofErr w:type="gramStart"/>
      <w:r w:rsidRPr="00790590">
        <w:t>Freeclubweb.com. (2018).</w:t>
      </w:r>
      <w:proofErr w:type="gramEnd"/>
      <w:r w:rsidRPr="00790590">
        <w:t xml:space="preserve"> Optic Curriculum. [</w:t>
      </w:r>
      <w:proofErr w:type="gramStart"/>
      <w:r w:rsidRPr="00790590">
        <w:t>online</w:t>
      </w:r>
      <w:proofErr w:type="gramEnd"/>
      <w:r w:rsidRPr="00790590">
        <w:t>] Available at: http://www.freeclubweb.com/privacypolicy.html [Accessed 22 Mar. 2018].</w:t>
      </w:r>
    </w:p>
    <w:p w14:paraId="70C35641" w14:textId="77777777" w:rsidR="00790590" w:rsidRPr="00790590" w:rsidRDefault="00790590" w:rsidP="00790590">
      <w:pPr>
        <w:ind w:left="360"/>
      </w:pPr>
    </w:p>
    <w:p w14:paraId="2B9E5119" w14:textId="77777777" w:rsidR="009A672D" w:rsidRPr="00790590" w:rsidRDefault="009A672D" w:rsidP="00790590">
      <w:pPr>
        <w:ind w:left="360"/>
      </w:pPr>
      <w:proofErr w:type="spellStart"/>
      <w:r w:rsidRPr="00790590">
        <w:t>Holz</w:t>
      </w:r>
      <w:proofErr w:type="spellEnd"/>
      <w:r w:rsidRPr="00790590">
        <w:t>, A. (2018). Playground Physics. [</w:t>
      </w:r>
      <w:proofErr w:type="gramStart"/>
      <w:r w:rsidRPr="00790590">
        <w:t>online</w:t>
      </w:r>
      <w:proofErr w:type="gramEnd"/>
      <w:r w:rsidRPr="00790590">
        <w:t>] Noticing Tools - Teacher Hub. Available at: https://noticing.nysci.org/apps/playground-physics/ [Accessed 23 Mar. 2018].</w:t>
      </w:r>
    </w:p>
    <w:p w14:paraId="3D8CF89F" w14:textId="77777777" w:rsidR="0095722D" w:rsidRDefault="0095722D" w:rsidP="009A672D"/>
    <w:p w14:paraId="742C0597" w14:textId="77777777" w:rsidR="001D4E51" w:rsidRPr="001D4E51" w:rsidRDefault="001D4E51" w:rsidP="001D4E51">
      <w:pPr>
        <w:ind w:left="360"/>
      </w:pPr>
      <w:r w:rsidRPr="001D4E51">
        <w:t>Credit: “Financial support was provided by the National Science Foundation under grant #NSF EEC 14-07194 RET.”</w:t>
      </w:r>
    </w:p>
    <w:p w14:paraId="01A211C7" w14:textId="77777777" w:rsidR="00790590" w:rsidRDefault="00790590" w:rsidP="001D4E51">
      <w:pPr>
        <w:ind w:left="360"/>
      </w:pPr>
    </w:p>
    <w:p w14:paraId="70FC51EC" w14:textId="30F6E66F" w:rsidR="009A672D" w:rsidRDefault="00790590" w:rsidP="001D4E51">
      <w:pPr>
        <w:ind w:left="360"/>
      </w:pPr>
      <w:r>
        <w:t xml:space="preserve">Special </w:t>
      </w:r>
      <w:r w:rsidR="009A672D">
        <w:t>a</w:t>
      </w:r>
      <w:r w:rsidR="001D4E51" w:rsidRPr="001D4E51">
        <w:t xml:space="preserve">cknowledgement to </w:t>
      </w:r>
      <w:r w:rsidR="009A672D">
        <w:t xml:space="preserve">Peter </w:t>
      </w:r>
      <w:proofErr w:type="spellStart"/>
      <w:r w:rsidR="009A672D">
        <w:t>Dragic</w:t>
      </w:r>
      <w:proofErr w:type="spellEnd"/>
      <w:r w:rsidR="009A672D">
        <w:t xml:space="preserve">, Terry </w:t>
      </w:r>
      <w:proofErr w:type="spellStart"/>
      <w:r w:rsidR="009A672D">
        <w:t>Kroker</w:t>
      </w:r>
      <w:proofErr w:type="spellEnd"/>
      <w:r w:rsidR="009A672D">
        <w:t xml:space="preserve">, and Kelly </w:t>
      </w:r>
      <w:proofErr w:type="spellStart"/>
      <w:r w:rsidR="009A672D">
        <w:t>Jolley</w:t>
      </w:r>
      <w:proofErr w:type="spellEnd"/>
    </w:p>
    <w:p w14:paraId="14AA6B39" w14:textId="77777777" w:rsidR="009A672D" w:rsidRDefault="009A672D" w:rsidP="001D4E51">
      <w:pPr>
        <w:ind w:left="360"/>
      </w:pPr>
    </w:p>
    <w:p w14:paraId="5A12F4CD" w14:textId="2E1A0320" w:rsidR="009A672D" w:rsidRPr="009A672D" w:rsidRDefault="009A672D" w:rsidP="009A672D">
      <w:pPr>
        <w:ind w:left="360"/>
      </w:pPr>
      <w:r w:rsidRPr="009A672D">
        <w:t xml:space="preserve">This work, which includes teacher and student resources, is licensed under a Creative Commons Attribution-Noncommercial-Share Alike 3.0 </w:t>
      </w:r>
      <w:proofErr w:type="spellStart"/>
      <w:r w:rsidRPr="009A672D">
        <w:t>Unported</w:t>
      </w:r>
      <w:proofErr w:type="spellEnd"/>
      <w:r w:rsidRPr="009A672D">
        <w:t xml:space="preserve"> License. To view a copy of this license, visit: </w:t>
      </w:r>
      <w:hyperlink r:id="rId9" w:history="1">
        <w:r w:rsidRPr="009A672D">
          <w:rPr>
            <w:rStyle w:val="Hyperlink"/>
          </w:rPr>
          <w:t>http://creativecommons.org/licenses/by-nc-sa/3.0/</w:t>
        </w:r>
      </w:hyperlink>
      <w:r w:rsidRPr="009A672D">
        <w:t xml:space="preserve">. To attribute this work, please use [as an example]: “J. Doe. </w:t>
      </w:r>
      <w:proofErr w:type="gramStart"/>
      <w:r w:rsidRPr="009A672D">
        <w:rPr>
          <w:u w:val="single"/>
        </w:rPr>
        <w:t>Title</w:t>
      </w:r>
      <w:r>
        <w:t xml:space="preserve"> (Date).</w:t>
      </w:r>
      <w:proofErr w:type="gramEnd"/>
    </w:p>
    <w:p w14:paraId="221ED260" w14:textId="77777777" w:rsidR="00016E2E" w:rsidRDefault="00016E2E" w:rsidP="001D4E51"/>
    <w:sectPr w:rsidR="00016E2E" w:rsidSect="009A672D">
      <w:head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94DBE" w14:textId="77777777" w:rsidR="009A672D" w:rsidRDefault="009A672D" w:rsidP="009A672D">
      <w:r>
        <w:separator/>
      </w:r>
    </w:p>
  </w:endnote>
  <w:endnote w:type="continuationSeparator" w:id="0">
    <w:p w14:paraId="68ACE138" w14:textId="77777777" w:rsidR="009A672D" w:rsidRDefault="009A672D" w:rsidP="009A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1C88C" w14:textId="77777777" w:rsidR="009A672D" w:rsidRDefault="009A672D" w:rsidP="009A672D">
      <w:r>
        <w:separator/>
      </w:r>
    </w:p>
  </w:footnote>
  <w:footnote w:type="continuationSeparator" w:id="0">
    <w:p w14:paraId="751A0CB7" w14:textId="77777777" w:rsidR="009A672D" w:rsidRDefault="009A672D" w:rsidP="009A6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72A24" w14:textId="658B98FE" w:rsidR="009A672D" w:rsidRPr="009A672D" w:rsidRDefault="009A672D" w:rsidP="009A672D">
    <w:pPr>
      <w:pStyle w:val="Header"/>
      <w:jc w:val="center"/>
      <w:rPr>
        <w:sz w:val="32"/>
        <w:szCs w:val="32"/>
      </w:rPr>
    </w:pPr>
    <w:r w:rsidRPr="009A672D">
      <w:rPr>
        <w:sz w:val="32"/>
        <w:szCs w:val="32"/>
      </w:rPr>
      <w:t>Energy Teaching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0079"/>
    <w:multiLevelType w:val="hybridMultilevel"/>
    <w:tmpl w:val="A1BE6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6E71B0"/>
    <w:multiLevelType w:val="hybridMultilevel"/>
    <w:tmpl w:val="68085E7A"/>
    <w:lvl w:ilvl="0" w:tplc="05FCF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8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4B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E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C1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C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C8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C9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C5486E"/>
    <w:multiLevelType w:val="hybridMultilevel"/>
    <w:tmpl w:val="CFDE23A2"/>
    <w:lvl w:ilvl="0" w:tplc="5540F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05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07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43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F4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23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2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8F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0A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924661"/>
    <w:multiLevelType w:val="multilevel"/>
    <w:tmpl w:val="556C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27F5A"/>
    <w:multiLevelType w:val="hybridMultilevel"/>
    <w:tmpl w:val="CD16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1"/>
    <w:rsid w:val="00016E2E"/>
    <w:rsid w:val="001C082F"/>
    <w:rsid w:val="001D4E51"/>
    <w:rsid w:val="00790590"/>
    <w:rsid w:val="008A410D"/>
    <w:rsid w:val="0095722D"/>
    <w:rsid w:val="009727E7"/>
    <w:rsid w:val="009A672D"/>
    <w:rsid w:val="00AB308E"/>
    <w:rsid w:val="00C317C8"/>
    <w:rsid w:val="00CC0A16"/>
    <w:rsid w:val="00D842FE"/>
    <w:rsid w:val="00D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5F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E5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C0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7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2D"/>
  </w:style>
  <w:style w:type="paragraph" w:styleId="Footer">
    <w:name w:val="footer"/>
    <w:basedOn w:val="Normal"/>
    <w:link w:val="FooterChar"/>
    <w:uiPriority w:val="99"/>
    <w:unhideWhenUsed/>
    <w:rsid w:val="009A6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E5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C0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7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2D"/>
  </w:style>
  <w:style w:type="paragraph" w:styleId="Footer">
    <w:name w:val="footer"/>
    <w:basedOn w:val="Normal"/>
    <w:link w:val="FooterChar"/>
    <w:uiPriority w:val="99"/>
    <w:unhideWhenUsed/>
    <w:rsid w:val="009A6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ebmail.illinois.edu/owa/redir.aspx?C=U9y_5xLbrEKf7cIhweAdBjpX8hySadEIFQeNQGB5OK4kEFA7CcszIzX5xHUo8joguO4LP5lVB9w.&amp;URL=http://creativecommons.org/licenses/by-nc-sa/3.0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FE390-A3CE-534A-86DF-C5CF8BC4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750</Words>
  <Characters>4279</Characters>
  <Application>Microsoft Macintosh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Rutherford</dc:creator>
  <cp:keywords/>
  <dc:description/>
  <cp:lastModifiedBy>Brandon Rutherford</cp:lastModifiedBy>
  <cp:revision>6</cp:revision>
  <dcterms:created xsi:type="dcterms:W3CDTF">2018-03-27T01:44:00Z</dcterms:created>
  <dcterms:modified xsi:type="dcterms:W3CDTF">2018-03-27T02:46:00Z</dcterms:modified>
</cp:coreProperties>
</file>